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F7" w:rsidRDefault="00E02EF7">
      <w:pPr>
        <w:rPr>
          <w:rFonts w:ascii="Verdana" w:hAnsi="Verdana"/>
          <w:color w:val="000000"/>
          <w:sz w:val="17"/>
          <w:szCs w:val="17"/>
        </w:rPr>
      </w:pPr>
    </w:p>
    <w:p w:rsidR="00337801" w:rsidRDefault="00337801" w:rsidP="000B57F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7B8" w:rsidRPr="00EA27B8" w:rsidRDefault="00EA27B8" w:rsidP="00EA27B8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7B8">
        <w:rPr>
          <w:rFonts w:ascii="Times New Roman" w:hAnsi="Times New Roman" w:cs="Times New Roman"/>
          <w:b/>
          <w:color w:val="000000"/>
          <w:sz w:val="28"/>
          <w:szCs w:val="28"/>
        </w:rPr>
        <w:t>Итоги</w:t>
      </w:r>
    </w:p>
    <w:p w:rsidR="00EA27B8" w:rsidRDefault="00EA27B8" w:rsidP="00EA27B8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7B8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Всероссийской сельскохозяйственной переписи 2016 года.</w:t>
      </w:r>
    </w:p>
    <w:p w:rsidR="00EA27B8" w:rsidRPr="00EA27B8" w:rsidRDefault="00EA27B8" w:rsidP="00EA27B8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459E" w:rsidRDefault="00E02EF7" w:rsidP="0033780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801">
        <w:rPr>
          <w:rFonts w:ascii="Times New Roman" w:hAnsi="Times New Roman" w:cs="Times New Roman"/>
          <w:color w:val="000000"/>
          <w:sz w:val="28"/>
          <w:szCs w:val="28"/>
        </w:rPr>
        <w:t>Тукаевский отдел статистики начинает публиковать аналитические материалы на основе данных Всероссийской сельскохозяйственной переписи 2016 года.</w:t>
      </w:r>
      <w:r w:rsidR="00337801" w:rsidRPr="0033780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 анализ структурных изменений, произошедши</w:t>
      </w:r>
      <w:r w:rsidR="00EA27B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37801" w:rsidRPr="00337801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хозяйстве с момента предыдущей переписи </w:t>
      </w:r>
      <w:r w:rsidR="00337801" w:rsidRPr="00C61189">
        <w:rPr>
          <w:rFonts w:ascii="Times New Roman" w:hAnsi="Times New Roman" w:cs="Times New Roman"/>
          <w:color w:val="000000"/>
          <w:sz w:val="28"/>
          <w:szCs w:val="28"/>
        </w:rPr>
        <w:t>2006 года.</w:t>
      </w:r>
      <w:r w:rsidR="00D67AFC" w:rsidRPr="00C61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336F" w:rsidRPr="00C61189" w:rsidRDefault="00C61189" w:rsidP="0033780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период </w:t>
      </w:r>
      <w:r w:rsidR="00EA27B8" w:rsidRPr="00C61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59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67AFC" w:rsidRPr="00C61189">
        <w:rPr>
          <w:rFonts w:ascii="Times New Roman" w:hAnsi="Times New Roman" w:cs="Times New Roman"/>
          <w:color w:val="000000"/>
          <w:sz w:val="28"/>
          <w:szCs w:val="28"/>
        </w:rPr>
        <w:t xml:space="preserve">районе </w:t>
      </w:r>
      <w:r w:rsidRPr="00C61189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</w:t>
      </w:r>
      <w:r w:rsidR="00F0459E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размера </w:t>
      </w:r>
      <w:r w:rsidR="00D67AFC" w:rsidRPr="00C61189">
        <w:rPr>
          <w:rFonts w:ascii="Times New Roman" w:hAnsi="Times New Roman" w:cs="Times New Roman"/>
          <w:color w:val="000000"/>
          <w:sz w:val="28"/>
          <w:szCs w:val="28"/>
        </w:rPr>
        <w:t>зем</w:t>
      </w:r>
      <w:r w:rsidR="00E0289B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="00D67AFC" w:rsidRPr="00C61189">
        <w:rPr>
          <w:rFonts w:ascii="Times New Roman" w:hAnsi="Times New Roman" w:cs="Times New Roman"/>
          <w:color w:val="000000"/>
          <w:sz w:val="28"/>
          <w:szCs w:val="28"/>
        </w:rPr>
        <w:t xml:space="preserve"> в КФХ и ЛПХ за счет уменьшения </w:t>
      </w:r>
      <w:r w:rsidRPr="00C6118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="00D67AFC" w:rsidRPr="00C61189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сельскохозяйственных предприятий. </w:t>
      </w:r>
    </w:p>
    <w:p w:rsidR="0007690C" w:rsidRDefault="0007690C" w:rsidP="0007690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переписи ВСХП- 2016 в  районе </w:t>
      </w:r>
      <w:r w:rsidR="00100E1B">
        <w:rPr>
          <w:rFonts w:ascii="Times New Roman" w:hAnsi="Times New Roman" w:cs="Times New Roman"/>
          <w:sz w:val="28"/>
          <w:szCs w:val="28"/>
        </w:rPr>
        <w:t xml:space="preserve">в хозяйствах всех категорий насчитывается </w:t>
      </w:r>
      <w:r>
        <w:rPr>
          <w:rFonts w:ascii="Times New Roman" w:hAnsi="Times New Roman" w:cs="Times New Roman"/>
          <w:sz w:val="28"/>
          <w:szCs w:val="28"/>
        </w:rPr>
        <w:t>99,5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 земли, в том числе сельхозпредприятия имеют 72,7 тыс.га</w:t>
      </w:r>
      <w:r w:rsidRPr="0007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73 % от всех земель</w:t>
      </w:r>
      <w:r w:rsidR="00F0459E">
        <w:rPr>
          <w:rFonts w:ascii="Times New Roman" w:hAnsi="Times New Roman" w:cs="Times New Roman"/>
          <w:sz w:val="28"/>
          <w:szCs w:val="28"/>
        </w:rPr>
        <w:t xml:space="preserve">  </w:t>
      </w:r>
      <w:r w:rsidR="00342BC8">
        <w:rPr>
          <w:rFonts w:ascii="Times New Roman" w:hAnsi="Times New Roman" w:cs="Times New Roman"/>
          <w:sz w:val="28"/>
          <w:szCs w:val="28"/>
        </w:rPr>
        <w:t>(снижение к показателями переписи 2006 года на 30%)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2BC8">
        <w:rPr>
          <w:rFonts w:ascii="Times New Roman" w:hAnsi="Times New Roman" w:cs="Times New Roman"/>
          <w:sz w:val="28"/>
          <w:szCs w:val="28"/>
        </w:rPr>
        <w:t xml:space="preserve"> </w:t>
      </w:r>
      <w:r w:rsidR="00100E1B">
        <w:rPr>
          <w:rFonts w:ascii="Times New Roman" w:hAnsi="Times New Roman" w:cs="Times New Roman"/>
          <w:sz w:val="28"/>
          <w:szCs w:val="28"/>
        </w:rPr>
        <w:t xml:space="preserve">фермеры имеют </w:t>
      </w:r>
      <w:r>
        <w:rPr>
          <w:rFonts w:ascii="Times New Roman" w:hAnsi="Times New Roman" w:cs="Times New Roman"/>
          <w:sz w:val="28"/>
          <w:szCs w:val="28"/>
        </w:rPr>
        <w:t>17,2 тыс. га или 17 %</w:t>
      </w:r>
      <w:r w:rsidR="00F0459E">
        <w:rPr>
          <w:rFonts w:ascii="Times New Roman" w:hAnsi="Times New Roman" w:cs="Times New Roman"/>
          <w:sz w:val="28"/>
          <w:szCs w:val="28"/>
        </w:rPr>
        <w:t xml:space="preserve"> </w:t>
      </w:r>
      <w:r w:rsidR="00F0459E" w:rsidRPr="00F0459E">
        <w:rPr>
          <w:rFonts w:ascii="Times New Roman" w:hAnsi="Times New Roman" w:cs="Times New Roman"/>
          <w:sz w:val="28"/>
          <w:szCs w:val="28"/>
        </w:rPr>
        <w:t xml:space="preserve"> </w:t>
      </w:r>
      <w:r w:rsidR="00F0459E">
        <w:rPr>
          <w:rFonts w:ascii="Times New Roman" w:hAnsi="Times New Roman" w:cs="Times New Roman"/>
          <w:sz w:val="28"/>
          <w:szCs w:val="28"/>
        </w:rPr>
        <w:t>от всех земель (прирост составил 14%)</w:t>
      </w:r>
      <w:r>
        <w:rPr>
          <w:rFonts w:ascii="Times New Roman" w:hAnsi="Times New Roman" w:cs="Times New Roman"/>
          <w:sz w:val="28"/>
          <w:szCs w:val="28"/>
        </w:rPr>
        <w:t>, в ЛПХ  - 4,6 тыс.га или 5%.</w:t>
      </w:r>
    </w:p>
    <w:p w:rsidR="0007690C" w:rsidRPr="00E02EF7" w:rsidRDefault="0007690C" w:rsidP="0007690C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Рис.1</w:t>
      </w:r>
    </w:p>
    <w:p w:rsidR="0007690C" w:rsidRDefault="0007690C" w:rsidP="0007690C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07690C" w:rsidRDefault="0007690C" w:rsidP="0007690C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земельной площади в разрезе категорий хозяйств</w:t>
      </w:r>
    </w:p>
    <w:p w:rsidR="0007690C" w:rsidRDefault="0007690C" w:rsidP="0007690C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Тукаевского муниципального района</w:t>
      </w:r>
    </w:p>
    <w:p w:rsidR="0007690C" w:rsidRDefault="0007690C" w:rsidP="0007690C">
      <w:pPr>
        <w:contextualSpacing/>
        <w:jc w:val="both"/>
        <w:rPr>
          <w:noProof/>
          <w:lang w:eastAsia="ru-RU"/>
        </w:rPr>
      </w:pPr>
      <w:r w:rsidRPr="001107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581275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1107DE">
        <w:rPr>
          <w:noProof/>
          <w:lang w:eastAsia="ru-RU"/>
        </w:rPr>
        <w:t xml:space="preserve"> </w:t>
      </w:r>
      <w:r w:rsidRPr="001107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581275"/>
            <wp:effectExtent l="19050" t="0" r="9525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690C" w:rsidRDefault="0007690C" w:rsidP="000B57F5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0E1B" w:rsidRDefault="00100E1B" w:rsidP="00100E1B">
      <w:pPr>
        <w:ind w:firstLine="708"/>
        <w:jc w:val="both"/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210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переписи 2006 года в</w:t>
      </w:r>
      <w:r w:rsidRPr="00A403A1">
        <w:rPr>
          <w:rFonts w:ascii="Times New Roman" w:hAnsi="Times New Roman" w:cs="Times New Roman"/>
          <w:sz w:val="28"/>
          <w:szCs w:val="28"/>
        </w:rPr>
        <w:t xml:space="preserve"> два раза сократилось количество сельскохозяйственных предприятий</w:t>
      </w:r>
      <w:r>
        <w:rPr>
          <w:rFonts w:ascii="Times New Roman" w:hAnsi="Times New Roman" w:cs="Times New Roman"/>
          <w:sz w:val="28"/>
          <w:szCs w:val="28"/>
        </w:rPr>
        <w:t>,  а  ч</w:t>
      </w:r>
      <w:r w:rsidRPr="00A403A1">
        <w:rPr>
          <w:rFonts w:ascii="Times New Roman" w:hAnsi="Times New Roman" w:cs="Times New Roman"/>
          <w:sz w:val="28"/>
          <w:szCs w:val="28"/>
        </w:rPr>
        <w:t>исленность занятых</w:t>
      </w:r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Pr="00A403A1">
        <w:rPr>
          <w:rFonts w:ascii="Times New Roman" w:hAnsi="Times New Roman" w:cs="Times New Roman"/>
          <w:sz w:val="28"/>
          <w:szCs w:val="28"/>
        </w:rPr>
        <w:t xml:space="preserve">за период между переписями сократилась </w:t>
      </w:r>
      <w:r>
        <w:rPr>
          <w:rFonts w:ascii="Times New Roman" w:hAnsi="Times New Roman" w:cs="Times New Roman"/>
          <w:sz w:val="28"/>
          <w:szCs w:val="28"/>
        </w:rPr>
        <w:t>на 44 %.</w:t>
      </w:r>
      <w:r w:rsidRPr="00E33727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100E1B" w:rsidRDefault="00100E1B" w:rsidP="007D1D5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E1B" w:rsidRDefault="00100E1B" w:rsidP="007D1D5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0E1B" w:rsidRDefault="00100E1B" w:rsidP="007D1D5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0C" w:rsidRDefault="007D1D5D" w:rsidP="007D1D5D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Рис.2</w:t>
      </w:r>
    </w:p>
    <w:p w:rsidR="00100E1B" w:rsidRDefault="00100E1B" w:rsidP="000B57F5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10C9" w:rsidRDefault="00E02EF7" w:rsidP="000B57F5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2EF7">
        <w:rPr>
          <w:rFonts w:ascii="Times New Roman" w:hAnsi="Times New Roman" w:cs="Times New Roman"/>
          <w:color w:val="000000"/>
          <w:sz w:val="28"/>
          <w:szCs w:val="28"/>
        </w:rPr>
        <w:t>Динамика</w:t>
      </w:r>
    </w:p>
    <w:p w:rsidR="00E02EF7" w:rsidRPr="00E02EF7" w:rsidRDefault="00E02EF7" w:rsidP="000B57F5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2EF7">
        <w:rPr>
          <w:rFonts w:ascii="Times New Roman" w:hAnsi="Times New Roman" w:cs="Times New Roman"/>
          <w:color w:val="000000"/>
          <w:sz w:val="28"/>
          <w:szCs w:val="28"/>
        </w:rPr>
        <w:t>количества сельскохозяйственных организаций</w:t>
      </w:r>
    </w:p>
    <w:p w:rsidR="00685C49" w:rsidRDefault="00E02EF7" w:rsidP="000B57F5">
      <w:pPr>
        <w:jc w:val="both"/>
      </w:pPr>
      <w:r w:rsidRPr="00E02EF7">
        <w:rPr>
          <w:noProof/>
          <w:lang w:eastAsia="ru-RU"/>
        </w:rPr>
        <w:drawing>
          <wp:inline distT="0" distB="0" distL="0" distR="0">
            <wp:extent cx="5495925" cy="29908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7801" w:rsidRDefault="00337801" w:rsidP="00337801">
      <w:pPr>
        <w:ind w:firstLine="708"/>
        <w:jc w:val="right"/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Рис.</w:t>
      </w:r>
      <w:r w:rsidR="007D1D5D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</w:p>
    <w:p w:rsidR="00B95CFC" w:rsidRDefault="004B1A41" w:rsidP="004B1A41">
      <w:pPr>
        <w:jc w:val="both"/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B1A41">
        <w:rPr>
          <w:rStyle w:val="apple-converted-space"/>
          <w:rFonts w:ascii="Times New Roman" w:hAnsi="Times New Roman" w:cs="Times New Roman"/>
          <w:noProof/>
          <w:color w:val="01010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91175" cy="27432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10C9" w:rsidRDefault="000B57F5" w:rsidP="000B5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727">
        <w:rPr>
          <w:rFonts w:ascii="Times New Roman" w:hAnsi="Times New Roman" w:cs="Times New Roman"/>
          <w:sz w:val="28"/>
          <w:szCs w:val="28"/>
        </w:rPr>
        <w:tab/>
        <w:t>В у</w:t>
      </w:r>
      <w:r w:rsidR="00E33727" w:rsidRPr="003210C9">
        <w:rPr>
          <w:rFonts w:ascii="Times New Roman" w:hAnsi="Times New Roman" w:cs="Times New Roman"/>
          <w:sz w:val="28"/>
          <w:szCs w:val="28"/>
        </w:rPr>
        <w:t xml:space="preserve">словиях сокращения </w:t>
      </w:r>
      <w:r w:rsidR="00E33727">
        <w:rPr>
          <w:rFonts w:ascii="Times New Roman" w:hAnsi="Times New Roman" w:cs="Times New Roman"/>
          <w:sz w:val="28"/>
          <w:szCs w:val="28"/>
        </w:rPr>
        <w:t>сельскохозяйственных предприятий и численности  занятых</w:t>
      </w:r>
      <w:r w:rsidR="00E33727" w:rsidRPr="003210C9">
        <w:rPr>
          <w:rFonts w:ascii="Times New Roman" w:hAnsi="Times New Roman" w:cs="Times New Roman"/>
          <w:sz w:val="28"/>
          <w:szCs w:val="28"/>
        </w:rPr>
        <w:t xml:space="preserve">, именно стимулирование </w:t>
      </w:r>
      <w:proofErr w:type="spellStart"/>
      <w:r w:rsidR="00E33727" w:rsidRPr="003210C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E33727" w:rsidRPr="003210C9">
        <w:rPr>
          <w:rFonts w:ascii="Times New Roman" w:hAnsi="Times New Roman" w:cs="Times New Roman"/>
          <w:sz w:val="28"/>
          <w:szCs w:val="28"/>
        </w:rPr>
        <w:t xml:space="preserve"> местного населения через поддержку развития </w:t>
      </w:r>
      <w:r w:rsidR="00E33727">
        <w:rPr>
          <w:rFonts w:ascii="Times New Roman" w:hAnsi="Times New Roman" w:cs="Times New Roman"/>
          <w:sz w:val="28"/>
          <w:szCs w:val="28"/>
        </w:rPr>
        <w:t xml:space="preserve">КФХ и </w:t>
      </w:r>
      <w:r w:rsidR="00E33727" w:rsidRPr="003210C9">
        <w:rPr>
          <w:rFonts w:ascii="Times New Roman" w:hAnsi="Times New Roman" w:cs="Times New Roman"/>
          <w:sz w:val="28"/>
          <w:szCs w:val="28"/>
        </w:rPr>
        <w:t>товарного производства в личных подсобных хозяйствах является наиболее актуальной формой региональной поддержки сельских жителей.</w:t>
      </w:r>
      <w:r w:rsidR="00E33727">
        <w:rPr>
          <w:rFonts w:ascii="Times New Roman" w:hAnsi="Times New Roman" w:cs="Times New Roman"/>
          <w:sz w:val="28"/>
          <w:szCs w:val="28"/>
        </w:rPr>
        <w:t xml:space="preserve"> Количество КФХ с 2006 года увеличилось в пять раз.</w:t>
      </w:r>
    </w:p>
    <w:p w:rsidR="00337801" w:rsidRDefault="00337801" w:rsidP="00337801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Рис.</w:t>
      </w:r>
      <w:r w:rsidR="007D1D5D">
        <w:rPr>
          <w:rFonts w:ascii="Times New Roman" w:hAnsi="Times New Roman" w:cs="Times New Roman"/>
          <w:sz w:val="28"/>
          <w:szCs w:val="28"/>
        </w:rPr>
        <w:t>4</w:t>
      </w:r>
    </w:p>
    <w:p w:rsidR="00E02EF7" w:rsidRDefault="00685C49" w:rsidP="000B57F5">
      <w:pPr>
        <w:jc w:val="both"/>
      </w:pPr>
      <w:r w:rsidRPr="00685C49">
        <w:rPr>
          <w:noProof/>
          <w:lang w:eastAsia="ru-RU"/>
        </w:rPr>
        <w:drawing>
          <wp:inline distT="0" distB="0" distL="0" distR="0">
            <wp:extent cx="5591175" cy="274320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5C49" w:rsidRDefault="00342BC8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республике </w:t>
      </w:r>
      <w:r w:rsidR="00100E1B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продолжается </w:t>
      </w:r>
      <w:r w:rsidR="00685C49" w:rsidRPr="00A403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поддерж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</w:t>
      </w:r>
      <w:r w:rsidR="00100E1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685C49" w:rsidRPr="00A403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начинающи</w:t>
      </w:r>
      <w:r w:rsidR="00A142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х</w:t>
      </w:r>
      <w:r w:rsidR="00685C49" w:rsidRPr="00A403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фермер</w:t>
      </w:r>
      <w:r w:rsidR="00A142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685C49" w:rsidRPr="00A403A1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  <w:r w:rsidR="00A142E1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685C49" w:rsidRPr="00A403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Министерство сельского хозяйства и продовольствия Республики Татарстан объяв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ило</w:t>
      </w:r>
      <w:r w:rsidR="00685C49" w:rsidRPr="00A403A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 начале конкурсного отбора крестьянских (фермерских) хозяйств – участников ведомственной программы «Поддержка начинающих фермеров в Республике Татарстан на 2017 – 2020 годы». Прием заявок и документов осуществляется с 3 апреля по 3 мая 2018 года специалистами Министерства сельского хозяйства и продовольствия РТ</w:t>
      </w:r>
      <w:r w:rsid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945A31" w:rsidRPr="00945A31" w:rsidRDefault="00E0289B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Создание </w:t>
      </w:r>
      <w:r w:rsidR="00C6118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КФХ на селе </w:t>
      </w:r>
      <w:r w:rsidR="00E3372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C6118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имеет ряд </w:t>
      </w:r>
      <w:r w:rsidR="00E3372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преимуществ:</w:t>
      </w:r>
    </w:p>
    <w:p w:rsidR="00945A31" w:rsidRPr="00945A31" w:rsidRDefault="00945A31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доступный способ производства для привлечения местного населения;</w:t>
      </w:r>
    </w:p>
    <w:p w:rsidR="00945A31" w:rsidRPr="00945A31" w:rsidRDefault="00945A31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производство постоянно востребованного товара;</w:t>
      </w:r>
    </w:p>
    <w:p w:rsidR="00945A31" w:rsidRPr="00945A31" w:rsidRDefault="00945A31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ненормированный рабочий день;</w:t>
      </w:r>
    </w:p>
    <w:p w:rsidR="00945A31" w:rsidRPr="00945A31" w:rsidRDefault="00945A31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</w:t>
      </w:r>
      <w:r w:rsidR="00E3372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возможность сбыта продукции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на территории близлежащих г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абережные Челны, Нижнекамск, Елабуга</w:t>
      </w: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;</w:t>
      </w:r>
    </w:p>
    <w:p w:rsidR="00945A31" w:rsidRDefault="00945A31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возможность привлечения к рабочим процессам подростков, детей, лиц пенсионного возраста</w:t>
      </w:r>
      <w:r w:rsidR="00E3372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C61189" w:rsidRPr="00945A31" w:rsidRDefault="009F4C7B" w:rsidP="000B57F5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</w:t>
      </w:r>
      <w:r w:rsidR="00E0289B" w:rsidRPr="00E028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ермер</w:t>
      </w:r>
      <w:r w:rsidR="00342BC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ы</w:t>
      </w:r>
      <w:r w:rsidR="00E0289B" w:rsidRPr="00E028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 Татарстане </w:t>
      </w:r>
      <w:r w:rsidR="00342BC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охотно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пользуются </w:t>
      </w:r>
      <w:r w:rsidR="00E0289B" w:rsidRPr="00E028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ами</w:t>
      </w:r>
      <w:r w:rsidR="00E0289B" w:rsidRPr="00E028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 «Поддержка начинающих фермеров»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</w:t>
      </w:r>
      <w:r w:rsidR="00E0289B" w:rsidRPr="00E028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«Развитие семейных животноводческих ферм»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F12F81" w:rsidRDefault="00A142E1" w:rsidP="00C6118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61189" w:rsidRPr="00FC0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оддержкой можно воспользоваться  для </w:t>
      </w:r>
      <w:r w:rsidR="00C6118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61189" w:rsidRPr="00FC0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риобретения сельскохозяйственной техники в лизинг </w:t>
      </w:r>
      <w:proofErr w:type="gramStart"/>
      <w:r w:rsidR="00C61189" w:rsidRPr="00FC05E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бновление</w:t>
      </w:r>
      <w:r w:rsidR="00C61189" w:rsidRPr="00FC0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машинно</w:t>
      </w:r>
      <w:r w:rsidR="00C61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-тракторного </w:t>
      </w:r>
      <w:proofErr w:type="spellStart"/>
      <w:r w:rsidR="00C6118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7D1D5D" w:rsidRDefault="00C61189" w:rsidP="00C6118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обновления техники в КФХ показали данные переписи, всего у фермеров насчитывается 149 единиц тракторов, причем более половины 58% из них в возрасте старше 9 лет – морально и физически изношены. В крестьянско-фермерских хозяйствах имеется 39 единиц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зерноуборочных комбайнов, </w:t>
      </w:r>
      <w:r w:rsidR="00A1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 единиц косилок,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 единиц кормоуборочных комбайнов.</w:t>
      </w:r>
    </w:p>
    <w:p w:rsidR="00C61189" w:rsidRDefault="007D1D5D" w:rsidP="007D1D5D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Рис.5</w:t>
      </w:r>
      <w:r w:rsidR="00C61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1189" w:rsidRDefault="00C61189" w:rsidP="00C61189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17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81300" cy="37909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2117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7500" cy="379095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1189" w:rsidRDefault="00C61189" w:rsidP="00C6118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4059" w:rsidRDefault="00E33727" w:rsidP="00854059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 w:rsidR="00945A31"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дним из эффективных способов </w:t>
      </w:r>
      <w:r w:rsidR="00F0459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получения  бюджетной поддержки и </w:t>
      </w:r>
      <w:r w:rsidR="00945A31"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минимизации воздействия негативных факторов на развитие </w:t>
      </w:r>
      <w:r w:rsidR="00F0459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КФХ </w:t>
      </w:r>
      <w:r w:rsidR="00945A31"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является становлени</w:t>
      </w:r>
      <w:r w:rsidR="00F0459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</w:t>
      </w:r>
      <w:r w:rsidR="00945A31"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потребительских кооперативов</w:t>
      </w:r>
      <w:r w:rsidR="00854059" w:rsidRPr="0085405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85405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 </w:t>
      </w:r>
      <w:r w:rsidR="00854059" w:rsidRPr="0085405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Программ</w:t>
      </w:r>
      <w:r w:rsidR="0085405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</w:t>
      </w:r>
      <w:r w:rsidR="00854059" w:rsidRPr="0085405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«Развитие сельскохозяйственной потребительской кооперации в Республике Татарстан».</w:t>
      </w:r>
    </w:p>
    <w:p w:rsidR="0007690C" w:rsidRPr="0007690C" w:rsidRDefault="0007690C" w:rsidP="0007690C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7690C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Исследование процессов кооперации в сельскохозяйственном секторе как среди КФХ, так и среди других сельхозпроизводителей показало, что здесь можно выделить три основных направлени</w:t>
      </w:r>
      <w:r w:rsidRPr="0007690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я.</w:t>
      </w:r>
    </w:p>
    <w:p w:rsidR="0007690C" w:rsidRPr="0007690C" w:rsidRDefault="0007690C" w:rsidP="0007690C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7690C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Первое направление</w:t>
      </w:r>
      <w:r w:rsidRPr="0007690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— кооперирование сельскохозяйственных субъектов по производству продукции: по возделыванию трудоемких культур, по откорму и выращиванию скота и др.</w:t>
      </w:r>
    </w:p>
    <w:p w:rsidR="00342BC8" w:rsidRDefault="0007690C" w:rsidP="0007690C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7690C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Второе направление</w:t>
      </w:r>
      <w:r w:rsidRPr="0007690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 — кооперирование в сфере материально- технического обслуживания. Такая форма кооперации может получить распространение из-за отсутствия финансовых и материальных средств и неразвитости сферы обслуживания. </w:t>
      </w:r>
    </w:p>
    <w:p w:rsidR="0007690C" w:rsidRPr="0007690C" w:rsidRDefault="0007690C" w:rsidP="0007690C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7690C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Третье направление</w:t>
      </w:r>
      <w:r w:rsidRPr="0007690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— создание крестьянскими (фермерскими) хозяйствами, малыми предприятиями кооперативов на основе объединения денежных средств и материально-технических ресурсов по переработке и реализации продукции.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Это позволяет</w:t>
      </w:r>
      <w:r w:rsidRPr="0007690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обеспечить  создание </w:t>
      </w: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п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роизводственной инфраструктуры, что является наиболее востребованным элементом для продвижения местной продукции в торговые сети.</w:t>
      </w:r>
    </w:p>
    <w:p w:rsidR="00FC05EB" w:rsidRDefault="00FC05EB" w:rsidP="00FC05EB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Традиционно эффективность кооперативной формы хозяйствования обеспечивается открытостью членства, добровольностью объединения, демократичностью при принятии решений, самостоятельностью в процессе деятельности и активным участием в решении местных социально-экономических задач.</w:t>
      </w:r>
    </w:p>
    <w:p w:rsidR="00FC05EB" w:rsidRDefault="005F7C90" w:rsidP="00FC05EB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Но </w:t>
      </w:r>
      <w:r w:rsidR="00FC05EB"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не смотря на множество очевидных плюсов от развития потребительских кооперативов, 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эта инициатива пока </w:t>
      </w:r>
      <w:r w:rsidR="00FC05EB" w:rsidRPr="00945A3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не получили должного распространения на территории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Тукаевского района.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Возможно,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предпринимателей 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сдерживают условия получения </w:t>
      </w:r>
      <w:proofErr w:type="gramStart"/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поддержки</w:t>
      </w:r>
      <w:proofErr w:type="gramEnd"/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- среди которых - </w:t>
      </w:r>
      <w:r w:rsidR="00FC05EB" w:rsidRPr="00647EA3">
        <w:t xml:space="preserve"> </w:t>
      </w:r>
      <w:r w:rsidR="00FC05EB" w:rsidRPr="00647E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объедин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ить</w:t>
      </w:r>
      <w:r w:rsidR="00FC05EB" w:rsidRPr="00647E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 менее 10 сельскохозяйственных товаропроизводителей на правах членов кооператива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r w:rsidR="00FC05EB" w:rsidRPr="00647E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осуществлять оплату </w:t>
      </w:r>
      <w:r w:rsidR="00FC05EB" w:rsidRPr="00647E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не менее 40 процентов стоимости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 процентов</w:t>
      </w:r>
      <w:r w:rsidR="00FC05E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FC05EB" w:rsidRPr="00647E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7D1D5D" w:rsidRDefault="005F7C90" w:rsidP="007D1D5D">
      <w:pPr>
        <w:ind w:firstLine="70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 итогам переписи 2016 года  </w:t>
      </w:r>
      <w:r w:rsidR="007D1D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26 </w:t>
      </w:r>
      <w:r w:rsidR="00A142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КФХ</w:t>
      </w:r>
      <w:r w:rsidR="007D1D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12,3% воспользовались субсидиями</w:t>
      </w:r>
      <w:r w:rsidR="007D1D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кредиты привлекали 18 КФХ (или 8,5% от всех зарегистрированных в районе КФХ).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7D1D5D" w:rsidRDefault="007D1D5D" w:rsidP="007D1D5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Публикация итогов </w:t>
      </w:r>
      <w:r w:rsidR="00100E1B" w:rsidRPr="00337801">
        <w:rPr>
          <w:rFonts w:ascii="Times New Roman" w:hAnsi="Times New Roman" w:cs="Times New Roman"/>
          <w:color w:val="000000"/>
          <w:sz w:val="28"/>
          <w:szCs w:val="28"/>
        </w:rPr>
        <w:t>Всероссийской сельскохозяйственной переписи 2016 года</w:t>
      </w:r>
      <w:r w:rsidR="00100E1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 </w:t>
      </w:r>
      <w:proofErr w:type="spellStart"/>
      <w:r w:rsidR="00100E1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Тукаевскому</w:t>
      </w:r>
      <w:proofErr w:type="spellEnd"/>
      <w:r w:rsidR="00100E1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муниципальному району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будет продолжена</w:t>
      </w:r>
      <w:r w:rsidR="00100E1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74754B" w:rsidRDefault="0074754B" w:rsidP="001663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754B" w:rsidRPr="00685C49" w:rsidRDefault="007A5580" w:rsidP="001107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42.2pt;margin-top:38.6pt;width:0;height:3pt;flip:y;z-index:251667456" o:connectortype="straight"/>
        </w:pict>
      </w:r>
    </w:p>
    <w:sectPr w:rsidR="0074754B" w:rsidRPr="00685C49" w:rsidSect="008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EF7"/>
    <w:rsid w:val="00030203"/>
    <w:rsid w:val="0007690C"/>
    <w:rsid w:val="000B57F5"/>
    <w:rsid w:val="00100E1B"/>
    <w:rsid w:val="0010314F"/>
    <w:rsid w:val="001107DE"/>
    <w:rsid w:val="001663BF"/>
    <w:rsid w:val="003210C9"/>
    <w:rsid w:val="00322FB2"/>
    <w:rsid w:val="00337801"/>
    <w:rsid w:val="00342BC8"/>
    <w:rsid w:val="00394A0E"/>
    <w:rsid w:val="00421170"/>
    <w:rsid w:val="004B1A41"/>
    <w:rsid w:val="005F7C90"/>
    <w:rsid w:val="00605861"/>
    <w:rsid w:val="00612D2B"/>
    <w:rsid w:val="00627C18"/>
    <w:rsid w:val="00643404"/>
    <w:rsid w:val="00647EA3"/>
    <w:rsid w:val="00685C49"/>
    <w:rsid w:val="0074754B"/>
    <w:rsid w:val="00763EBF"/>
    <w:rsid w:val="007A5580"/>
    <w:rsid w:val="007C5B98"/>
    <w:rsid w:val="007D1D5D"/>
    <w:rsid w:val="00854059"/>
    <w:rsid w:val="00871317"/>
    <w:rsid w:val="0089336F"/>
    <w:rsid w:val="00945A31"/>
    <w:rsid w:val="00951132"/>
    <w:rsid w:val="00951877"/>
    <w:rsid w:val="009F4C7B"/>
    <w:rsid w:val="00A142E1"/>
    <w:rsid w:val="00A403A1"/>
    <w:rsid w:val="00B95CFC"/>
    <w:rsid w:val="00C40609"/>
    <w:rsid w:val="00C61189"/>
    <w:rsid w:val="00D367BE"/>
    <w:rsid w:val="00D67AFC"/>
    <w:rsid w:val="00D77BBB"/>
    <w:rsid w:val="00E0289B"/>
    <w:rsid w:val="00E02EF7"/>
    <w:rsid w:val="00E33727"/>
    <w:rsid w:val="00EA27B8"/>
    <w:rsid w:val="00F0459E"/>
    <w:rsid w:val="00F12F81"/>
    <w:rsid w:val="00FC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5C49"/>
  </w:style>
  <w:style w:type="paragraph" w:styleId="a5">
    <w:name w:val="Normal (Web)"/>
    <w:basedOn w:val="a"/>
    <w:uiPriority w:val="99"/>
    <w:semiHidden/>
    <w:unhideWhenUsed/>
    <w:rsid w:val="00685C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58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67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68.31.235\Public\230%20&#1064;&#1072;&#1081;&#1093;&#1091;&#1083;&#1083;&#1080;&#1085;&#1072;%20&#1043;.&#1056;\&#1042;%20&#1086;&#1088;&#1075;%20&#1086;&#1090;&#1076;&#1077;&#1083;\&#1053;&#1072;%20&#1089;&#1072;&#1081;&#1090;\2018\&#1044;&#1077;&#1085;%20&#1076;&#1086;&#1093;%20&#1085;&#1072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68.31.235\Public\230%20&#1064;&#1072;&#1081;&#1093;&#1091;&#1083;&#1083;&#1080;&#1085;&#1072;%20&#1043;.&#1056;\&#1042;%20&#1086;&#1088;&#1075;%20&#1086;&#1090;&#1076;&#1077;&#1083;\&#1053;&#1072;%20&#1089;&#1072;&#1081;&#1090;\2018\&#1044;&#1077;&#1085;%20&#1076;&#1086;&#1093;%20&#1085;&#1072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Лист1!$B$41</c:f>
              <c:strCache>
                <c:ptCount val="1"/>
                <c:pt idx="0">
                  <c:v>ВСХП - 2006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Лист1!$A$42:$A$45</c:f>
              <c:strCache>
                <c:ptCount val="4"/>
                <c:pt idx="0">
                  <c:v>сельскохозяйственные организации</c:v>
                </c:pt>
                <c:pt idx="1">
                  <c:v>КФХ</c:v>
                </c:pt>
                <c:pt idx="2">
                  <c:v>ЛПХ</c:v>
                </c:pt>
                <c:pt idx="3">
                  <c:v>некоммерческие объединения граждан</c:v>
                </c:pt>
              </c:strCache>
            </c:strRef>
          </c:cat>
          <c:val>
            <c:numRef>
              <c:f>Лист1!$B$42:$B$45</c:f>
              <c:numCache>
                <c:formatCode>General</c:formatCode>
                <c:ptCount val="4"/>
                <c:pt idx="0">
                  <c:v>104950</c:v>
                </c:pt>
                <c:pt idx="1">
                  <c:v>3778</c:v>
                </c:pt>
                <c:pt idx="2">
                  <c:v>2843.9</c:v>
                </c:pt>
                <c:pt idx="3">
                  <c:v>4096.1000000000004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2.4653324584427018E-2"/>
          <c:y val="0.17118073782443871"/>
          <c:w val="0.85347090988626328"/>
          <c:h val="0.3279243219597561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Лист1!$B$46</c:f>
              <c:strCache>
                <c:ptCount val="1"/>
                <c:pt idx="0">
                  <c:v>ВСХП - 2016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Лист1!$A$47:$A$50</c:f>
              <c:strCache>
                <c:ptCount val="4"/>
                <c:pt idx="0">
                  <c:v>сельскохозяйственные организации</c:v>
                </c:pt>
                <c:pt idx="1">
                  <c:v>КФХ</c:v>
                </c:pt>
                <c:pt idx="2">
                  <c:v>ЛПХ</c:v>
                </c:pt>
                <c:pt idx="3">
                  <c:v>некоммерческие объединения граждан</c:v>
                </c:pt>
              </c:strCache>
            </c:strRef>
          </c:cat>
          <c:val>
            <c:numRef>
              <c:f>Лист1!$B$47:$B$50</c:f>
              <c:numCache>
                <c:formatCode>General</c:formatCode>
                <c:ptCount val="4"/>
                <c:pt idx="0">
                  <c:v>72681.100000000006</c:v>
                </c:pt>
                <c:pt idx="1">
                  <c:v>17208.3</c:v>
                </c:pt>
                <c:pt idx="2">
                  <c:v>4634.5</c:v>
                </c:pt>
                <c:pt idx="3">
                  <c:v>4994.9000000000005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Число сельскохозяйственных организаций, единиц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0595987026751695E-2"/>
          <c:y val="0.27035792500459738"/>
          <c:w val="0.93888888888888944"/>
          <c:h val="0.57518096862096058"/>
        </c:manualLayout>
      </c:layout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Число сельскохозяйственных организаций, 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28025477707006385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20806794055201708"/>
                </c:manualLayout>
              </c:layout>
              <c:showVal val="1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Val val="1"/>
          </c:dLbls>
          <c:cat>
            <c:strRef>
              <c:f>Лист1!$B$4:$C$4</c:f>
              <c:strCache>
                <c:ptCount val="2"/>
                <c:pt idx="0">
                  <c:v>ВСХП - 2006</c:v>
                </c:pt>
                <c:pt idx="1">
                  <c:v>ВСХП - 2016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axId val="68627840"/>
        <c:axId val="68650112"/>
      </c:barChart>
      <c:catAx>
        <c:axId val="6862784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650112"/>
        <c:crosses val="autoZero"/>
        <c:auto val="1"/>
        <c:lblAlgn val="ctr"/>
        <c:lblOffset val="100"/>
      </c:catAx>
      <c:valAx>
        <c:axId val="68650112"/>
        <c:scaling>
          <c:orientation val="minMax"/>
        </c:scaling>
        <c:delete val="1"/>
        <c:axPos val="l"/>
        <c:numFmt formatCode="General" sourceLinked="1"/>
        <c:tickLblPos val="none"/>
        <c:crossAx val="68627840"/>
        <c:crosses val="autoZero"/>
        <c:crossBetween val="between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0084150469266295E-2"/>
          <c:y val="0.43483814523184622"/>
          <c:w val="0.93888888888888944"/>
          <c:h val="0.461319626713327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Лист1!$A$11</c:f>
              <c:strCache>
                <c:ptCount val="1"/>
                <c:pt idx="0">
                  <c:v>Численность работников занятых в сельскохозяйственных организациях, человек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0"/>
                  <c:y val="0.18055555555555555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2500000000000008"/>
                </c:manualLayout>
              </c:layout>
              <c:showVal val="1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Лист1!$B$10:$C$10</c:f>
              <c:strCache>
                <c:ptCount val="2"/>
                <c:pt idx="0">
                  <c:v>ВСХП - 2006</c:v>
                </c:pt>
                <c:pt idx="1">
                  <c:v>ВСХП - 2016</c:v>
                </c:pt>
              </c:strCache>
            </c:strRef>
          </c:cat>
          <c:val>
            <c:numRef>
              <c:f>Лист1!$B$11:$C$11</c:f>
              <c:numCache>
                <c:formatCode>General</c:formatCode>
                <c:ptCount val="2"/>
                <c:pt idx="0">
                  <c:v>5232</c:v>
                </c:pt>
                <c:pt idx="1">
                  <c:v>2919</c:v>
                </c:pt>
              </c:numCache>
            </c:numRef>
          </c:val>
        </c:ser>
        <c:shape val="box"/>
        <c:axId val="70015616"/>
        <c:axId val="70025600"/>
        <c:axId val="0"/>
      </c:bar3DChart>
      <c:catAx>
        <c:axId val="700156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025600"/>
        <c:crosses val="autoZero"/>
        <c:auto val="1"/>
        <c:lblAlgn val="ctr"/>
        <c:lblOffset val="100"/>
      </c:catAx>
      <c:valAx>
        <c:axId val="70025600"/>
        <c:scaling>
          <c:orientation val="minMax"/>
        </c:scaling>
        <c:delete val="1"/>
        <c:axPos val="l"/>
        <c:numFmt formatCode="General" sourceLinked="1"/>
        <c:tickLblPos val="none"/>
        <c:crossAx val="70015616"/>
        <c:crosses val="autoZero"/>
        <c:crossBetween val="between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зарегистрированных КФХ, единиц</a:t>
            </a:r>
          </a:p>
        </c:rich>
      </c:tx>
      <c:layout/>
    </c:title>
    <c:view3D>
      <c:rotX val="10"/>
      <c:rAngAx val="1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/>
      <c:bar3DChart>
        <c:barDir val="col"/>
        <c:grouping val="stacked"/>
        <c:ser>
          <c:idx val="0"/>
          <c:order val="0"/>
          <c:tx>
            <c:strRef>
              <c:f>Лист1!$A$8</c:f>
              <c:strCache>
                <c:ptCount val="1"/>
                <c:pt idx="0">
                  <c:v>Количество зарегистрированных КФХ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800"/>
                    </a:pPr>
                    <a:r>
                      <a:rPr lang="en-US"/>
                      <a:t>2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pPr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800"/>
                    </a:pPr>
                    <a:r>
                      <a:rPr lang="en-US"/>
                      <a:t>1</a:t>
                    </a:r>
                    <a:r>
                      <a:rPr lang="ru-RU"/>
                      <a:t>24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Лист1!$B$7:$C$7</c:f>
              <c:strCache>
                <c:ptCount val="2"/>
                <c:pt idx="0">
                  <c:v>ВСХП - 2006</c:v>
                </c:pt>
                <c:pt idx="1">
                  <c:v>ВСХП - 2016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24</c:v>
                </c:pt>
                <c:pt idx="1">
                  <c:v>119</c:v>
                </c:pt>
              </c:numCache>
            </c:numRef>
          </c:val>
        </c:ser>
        <c:shape val="box"/>
        <c:axId val="70022656"/>
        <c:axId val="70024192"/>
        <c:axId val="0"/>
      </c:bar3DChart>
      <c:catAx>
        <c:axId val="7002265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70024192"/>
        <c:crosses val="autoZero"/>
        <c:auto val="1"/>
        <c:lblAlgn val="ctr"/>
        <c:lblOffset val="100"/>
      </c:catAx>
      <c:valAx>
        <c:axId val="70024192"/>
        <c:scaling>
          <c:orientation val="minMax"/>
        </c:scaling>
        <c:delete val="1"/>
        <c:axPos val="l"/>
        <c:numFmt formatCode="General" sourceLinked="1"/>
        <c:tickLblPos val="none"/>
        <c:crossAx val="70022656"/>
        <c:crosses val="autoZero"/>
        <c:crossBetween val="between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Наличие тракторов в КФХ </a:t>
            </a:r>
          </a:p>
          <a:p>
            <a:pPr>
              <a:defRPr/>
            </a:pPr>
            <a:r>
              <a:rPr lang="ru-RU" sz="1600"/>
              <a:t>по данным ВСХП -2016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Лист1!$A$72:$A$74</c:f>
              <c:strCache>
                <c:ptCount val="3"/>
                <c:pt idx="0">
                  <c:v>до 4 лет</c:v>
                </c:pt>
                <c:pt idx="1">
                  <c:v>4-8 лет</c:v>
                </c:pt>
                <c:pt idx="2">
                  <c:v>9 лет иболее </c:v>
                </c:pt>
              </c:strCache>
            </c:strRef>
          </c:cat>
          <c:val>
            <c:numRef>
              <c:f>Лист1!$B$72:$B$74</c:f>
              <c:numCache>
                <c:formatCode>General</c:formatCode>
                <c:ptCount val="3"/>
                <c:pt idx="0">
                  <c:v>17</c:v>
                </c:pt>
                <c:pt idx="1">
                  <c:v>45</c:v>
                </c:pt>
                <c:pt idx="2">
                  <c:v>87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Наличие зерноуборочных комбайнов в КФХ по данным ВСХП-2016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861111111111108E-2"/>
          <c:y val="0.44961468358121931"/>
          <c:w val="0.81388888888888955"/>
          <c:h val="0.55011300670749486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Лист1!$A$76:$A$78</c:f>
              <c:strCache>
                <c:ptCount val="3"/>
                <c:pt idx="0">
                  <c:v>до 4 лет</c:v>
                </c:pt>
                <c:pt idx="1">
                  <c:v>4-8 лет</c:v>
                </c:pt>
                <c:pt idx="2">
                  <c:v>9 лет иболее </c:v>
                </c:pt>
              </c:strCache>
            </c:strRef>
          </c:cat>
          <c:val>
            <c:numRef>
              <c:f>Лист1!$B$76:$B$78</c:f>
              <c:numCache>
                <c:formatCode>General</c:formatCode>
                <c:ptCount val="3"/>
                <c:pt idx="0">
                  <c:v>6</c:v>
                </c:pt>
                <c:pt idx="1">
                  <c:v>15</c:v>
                </c:pt>
                <c:pt idx="2">
                  <c:v>18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0.51127</cdr:x>
      <cdr:y>0.23487</cdr:y>
    </cdr:from>
    <cdr:to>
      <cdr:x>0.68977</cdr:x>
      <cdr:y>0.47134</cdr:y>
    </cdr:to>
    <cdr:sp macro="" textlink="">
      <cdr:nvSpPr>
        <cdr:cNvPr id="2" name="Выноска со стрелкой вниз 1"/>
        <cdr:cNvSpPr/>
      </cdr:nvSpPr>
      <cdr:spPr>
        <a:xfrm xmlns:a="http://schemas.openxmlformats.org/drawingml/2006/main">
          <a:off x="2809875" y="702469"/>
          <a:ext cx="981074" cy="707231"/>
        </a:xfrm>
        <a:prstGeom xmlns:a="http://schemas.openxmlformats.org/drawingml/2006/main" prst="downArrowCallout">
          <a:avLst/>
        </a:prstGeom>
        <a:solidFill xmlns:a="http://schemas.openxmlformats.org/drawingml/2006/main">
          <a:srgbClr val="FFFF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снижение </a:t>
          </a:r>
        </a:p>
        <a:p xmlns:a="http://schemas.openxmlformats.org/drawingml/2006/main">
          <a:pPr algn="ctr"/>
          <a:r>
            <a:rPr lang="ru-RU" sz="11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на 21,7 %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0.49744</cdr:x>
      <cdr:y>0.36806</cdr:y>
    </cdr:from>
    <cdr:to>
      <cdr:x>0.67291</cdr:x>
      <cdr:y>0.61806</cdr:y>
    </cdr:to>
    <cdr:sp macro="" textlink="">
      <cdr:nvSpPr>
        <cdr:cNvPr id="2" name="Выноска со стрелкой вниз 1"/>
        <cdr:cNvSpPr/>
      </cdr:nvSpPr>
      <cdr:spPr>
        <a:xfrm xmlns:a="http://schemas.openxmlformats.org/drawingml/2006/main">
          <a:off x="2781299" y="1009651"/>
          <a:ext cx="981075" cy="685799"/>
        </a:xfrm>
        <a:prstGeom xmlns:a="http://schemas.openxmlformats.org/drawingml/2006/main" prst="downArrowCallout">
          <a:avLst/>
        </a:prstGeom>
        <a:solidFill xmlns:a="http://schemas.openxmlformats.org/drawingml/2006/main">
          <a:srgbClr val="FFFF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снижение </a:t>
          </a:r>
        </a:p>
        <a:p xmlns:a="http://schemas.openxmlformats.org/drawingml/2006/main"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на  55,8%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0.31223</cdr:x>
      <cdr:y>0.39586</cdr:y>
    </cdr:from>
    <cdr:to>
      <cdr:x>0.63749</cdr:x>
      <cdr:y>0.58146</cdr:y>
    </cdr:to>
    <cdr:sp macro="" textlink="">
      <cdr:nvSpPr>
        <cdr:cNvPr id="2" name="Стрелка вправо с вырезом 1"/>
        <cdr:cNvSpPr/>
      </cdr:nvSpPr>
      <cdr:spPr>
        <a:xfrm xmlns:a="http://schemas.openxmlformats.org/drawingml/2006/main" rot="19801864">
          <a:off x="1695153" y="1085935"/>
          <a:ext cx="1765957" cy="509135"/>
        </a:xfrm>
        <a:prstGeom xmlns:a="http://schemas.openxmlformats.org/drawingml/2006/main" prst="notchedRightArrow">
          <a:avLst/>
        </a:prstGeom>
        <a:solidFill xmlns:a="http://schemas.openxmlformats.org/drawingml/2006/main">
          <a:srgbClr val="FFFF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рост  на 97 единиц,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B3F0D-883F-486C-8A33-CE9E34A1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Татарстанстат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tykai</dc:creator>
  <cp:keywords/>
  <dc:description/>
  <cp:lastModifiedBy>tykai</cp:lastModifiedBy>
  <cp:revision>2</cp:revision>
  <dcterms:created xsi:type="dcterms:W3CDTF">2018-04-04T13:07:00Z</dcterms:created>
  <dcterms:modified xsi:type="dcterms:W3CDTF">2018-04-04T13:07:00Z</dcterms:modified>
</cp:coreProperties>
</file>